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76" w:hRule="atLeast"/>
          <w:jc w:val="center"/>
        </w:trPr>
        <w:tc>
          <w:tcPr>
            <w:tcW w:w="7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hint="default" w:ascii="方正小标宋简体" w:eastAsia="方正小标宋简体"/>
                <w:b/>
                <w:bCs/>
                <w:color w:val="FF0000"/>
                <w:spacing w:val="-28"/>
                <w:w w:val="72"/>
                <w:sz w:val="96"/>
                <w:szCs w:val="96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pacing w:val="-28"/>
                <w:w w:val="72"/>
                <w:sz w:val="96"/>
                <w:szCs w:val="96"/>
                <w:highlight w:val="none"/>
                <w:lang w:val="en-US" w:eastAsia="zh-CN"/>
              </w:rPr>
              <w:t>滕州市卫生健康局</w:t>
            </w:r>
          </w:p>
        </w:tc>
        <w:tc>
          <w:tcPr>
            <w:tcW w:w="18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hint="eastAsia" w:ascii="方正小标宋简体" w:eastAsia="方正小标宋简体"/>
                <w:b/>
                <w:bCs/>
                <w:color w:val="FF0000"/>
                <w:spacing w:val="-28"/>
                <w:w w:val="72"/>
                <w:sz w:val="110"/>
                <w:szCs w:val="110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pacing w:val="-34"/>
                <w:w w:val="72"/>
                <w:sz w:val="110"/>
                <w:szCs w:val="110"/>
                <w:highlight w:val="none"/>
                <w:lang w:val="en-US" w:eastAsia="zh-CN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7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hint="default" w:ascii="方正小标宋简体" w:eastAsia="方正小标宋简体"/>
                <w:b/>
                <w:bCs/>
                <w:color w:val="FF0000"/>
                <w:spacing w:val="-28"/>
                <w:w w:val="72"/>
                <w:sz w:val="96"/>
                <w:szCs w:val="96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spacing w:val="-28"/>
                <w:w w:val="72"/>
                <w:sz w:val="96"/>
                <w:szCs w:val="96"/>
                <w:highlight w:val="none"/>
                <w:lang w:val="en-US" w:eastAsia="zh-CN"/>
              </w:rPr>
              <w:t>滕州市总工会</w:t>
            </w:r>
          </w:p>
        </w:tc>
        <w:tc>
          <w:tcPr>
            <w:tcW w:w="18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hint="eastAsia" w:ascii="方正小标宋简体" w:eastAsia="方正小标宋简体"/>
                <w:b/>
                <w:bCs/>
                <w:color w:val="FF0000"/>
                <w:spacing w:val="-28"/>
                <w:w w:val="72"/>
                <w:sz w:val="84"/>
                <w:szCs w:val="84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楷体_GB2312" w:hAnsi="华文中宋" w:eastAsia="楷体_GB2312"/>
          <w:color w:val="000000"/>
          <w:sz w:val="32"/>
          <w:szCs w:val="32"/>
        </w:rPr>
      </w:pPr>
    </w:p>
    <w:p>
      <w:pPr>
        <w:spacing w:line="600" w:lineRule="exact"/>
        <w:jc w:val="center"/>
      </w:pPr>
      <w:r>
        <w:rPr>
          <w:rFonts w:hint="eastAsia" w:ascii="楷体_GB2312" w:hAnsi="华文中宋" w:eastAsia="楷体_GB2312"/>
          <w:color w:val="000000"/>
          <w:sz w:val="32"/>
          <w:szCs w:val="32"/>
        </w:rPr>
        <w:t>滕卫〔202</w:t>
      </w:r>
      <w:r>
        <w:rPr>
          <w:rFonts w:hint="eastAsia" w:ascii="楷体_GB2312" w:hAnsi="华文中宋" w:eastAsia="楷体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华文中宋" w:eastAsia="楷体_GB2312"/>
          <w:color w:val="000000"/>
          <w:sz w:val="32"/>
          <w:szCs w:val="32"/>
        </w:rPr>
        <w:t>〕</w:t>
      </w:r>
      <w:r>
        <w:rPr>
          <w:rFonts w:hint="eastAsia" w:ascii="楷体_GB2312" w:hAnsi="华文中宋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华文中宋" w:eastAsia="楷体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楷体_GB2312" w:hAnsi="华文中宋" w:eastAsia="楷体_GB2312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sz w:val="150"/>
          <w:szCs w:val="1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243205</wp:posOffset>
                </wp:positionV>
                <wp:extent cx="5760085" cy="0"/>
                <wp:effectExtent l="0" t="13970" r="1206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5pt;margin-top:19.15pt;height:0pt;width:453.55pt;z-index:251659264;mso-width-relative:page;mso-height-relative:page;" filled="f" stroked="t" coordsize="21600,21600" o:gfxdata="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bllX1gAAAAkBAAAPAAAAAAAAAAEAIAAAACIAAABkcnMvZG93bnJldi54&#10;bWxQSwECFAAUAAAACACHTuJAMtE5c/wBAADzAwAADgAAAAAAAAABACAAAAAl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关于公布滕州市2021年度“职业健康达人” 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各镇卫生院、街道社区卫生服务中心，各镇、街道办事处总工会，市卫生健康综合行政执法大队，市疾病预防控制中心，全市各企业：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用人单位落实主体责任，加强职业健康管理，切实保护劳动者健康权益，根据市卫生健康局、市总工会《关于印发争做“职业健康达人”活动方案的通知》（滕卫〔2021〕7号）文件精神，经宣传发动、层层推荐、材料审核、评委会评审等环节，李纪上等 29 名同志被评为滕州市级“职业健康达人”。希望获评“职业健康达人”的同志珍惜荣誉、再接再厉，切实发挥表率作用，带动更多的人参与职业健康保护行动，为职业健康事业积极建言献策，为推动我市职业健康建设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附件：滕州市 2021 年度“职业健康达人”名单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74" w:leftChars="1216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滕州市卫生健康局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滕州市总工会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2022年1月26日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滕州市2021年度“职业健康达人”名单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李纪上 鲁南中联水泥有限公司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   鹏 渤瑞环保股份有限公司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杨   聪 渤瑞环保股份有限公司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武贵云 联泓（山东）化学有限公司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张东堂 滕州市金达煤炭有限责任公司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杨运涛 滕州市金达煤炭有限责任公司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  森 枣庄矿业（集团）有限责任公司滨湖煤矿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  辉 枣庄矿业（集团）有限责任公司滨湖煤矿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  杰 枣庄矿业（集团）有限责任公司蒋庄煤矿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  超 枣庄矿业（集团）有限责任公司蒋庄煤矿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  会 滕州市东郭中心卫生院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洪一评 联泓新材料科技股份有限公司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王裕坤 联泓新材料科技股份有限公司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王新松 联泓新材料科技股份有限公司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袁玉龙 枣庄矿业（集团）有限责任公司田陈煤矿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 猛 枣庄矿业（集团）有限责任公司田陈煤矿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齐崇刚 枣庄矿业（集团）有限责任公司柴里煤矿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任  帅 枣庄矿业（集团）有限责任公司柴里煤矿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戚贵峰 滕州市疾病预防控制中心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庞  英 滕州市疾病预防控制中心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王宝伦 滕州市国运石油销售有限公司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  振 滕州市东大矿业有限责任公司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倪秀勤 枣庄泰恒轻质建材有限公司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李耕伟 枣庄王晁煤矿责任有限公司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  伟 滕州市大地鞭炮烟花有限责任公司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  会 高能时代环境（滕州）环保技术有限公司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杨卿奎 高能时代环境（滕州）环保技术有限公司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宋春雨 滕州市鑫岩石料有限责任公司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盛晓晓 滕州市鑫岩石料有限责任公司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DI5ZDNlNjI2Yjk0MWQ2MWJmZDY5MGJiZGJlNDIifQ=="/>
  </w:docVars>
  <w:rsids>
    <w:rsidRoot w:val="00000000"/>
    <w:rsid w:val="0F117383"/>
    <w:rsid w:val="52B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877</Words>
  <Characters>899</Characters>
  <Lines>0</Lines>
  <Paragraphs>0</Paragraphs>
  <TotalTime>2</TotalTime>
  <ScaleCrop>false</ScaleCrop>
  <LinksUpToDate>false</LinksUpToDate>
  <CharactersWithSpaces>954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2022-11-10T12:14:00Z</dcterms:created>
  <dc:creator>lenovo</dc:creator>
  <cp:lastModifiedBy>王峯玉愷</cp:lastModifiedBy>
  <dcterms:modified xsi:type="dcterms:W3CDTF">2022-11-10T12:23:14Z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D3C92294F1574AA9B5880A840BC94C3D</vt:lpwstr>
  </property>
</Properties>
</file>